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BBA0D"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En el marco del Contrato Interadministrativo No. 1773 de 2025 suscrito entre el Ministerio del Interior y FINDETER, se adelantó la realización del Comité Fiduciario Virtual No. 1 del PATRIMONIO AUTÓNOMO FINDETER – MININTERIOR BANCO DE PROYECTOS 4.0, previo cumplimiento de las actuaciones administrativas, financieras y fiduciarias requeridas para la puesta en operación del patrimonio autónomo.</w:t>
      </w:r>
    </w:p>
    <w:p w14:paraId="6A2D8320" w14:textId="67E27520"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De manera previa a la sesión, se efectuaron las gestiones relacionadas con la estructuración operativa y financiera del patrimonio autónomo, incluyendo el trámite documental requerido para el desembolso de recursos y la definición de los integrantes y delegados con participación y voto dentro de las instancias fiduciarias correspondientes</w:t>
      </w:r>
    </w:p>
    <w:p w14:paraId="6F0C4CF2"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Previo a la realización del Comité Fiduciario Virtual No. 1 del PATRIMONIO AUTÓNOMO FINDETER – MININTERIOR BANCO DE PROYECTOS 4.0, la abogada de la Jefatura de Contratación Derivada de FINDETER remitió el borrador del Manual Operativo correspondiente al Contrato Interadministrativo No. 1773 de 2025, con el fin de que por parte del Ministerio del Interior fueran indicadas las personas que conformarían los órganos contractuales del Patrimonio Autónomo, sugiriéndose para tal efecto que dichos órganos no estuvieran integrados por más de dos (2) personas.</w:t>
      </w:r>
    </w:p>
    <w:p w14:paraId="45F0D673"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El documento remitido contenía los lineamientos administrativos, financieros, fiduciarios, contractuales y operativos requeridos para la puesta en funcionamiento y administración del Patrimonio Autónomo, así como los procedimientos relacionados con pagos y desembolsos, modalidades de contratación, supervisión, garantías, contratación derivada y seguimiento de los proyectos que se ejecutarán en el marco del referido contrato interadministrativo.</w:t>
      </w:r>
    </w:p>
    <w:p w14:paraId="435FE167" w14:textId="77777777" w:rsidR="006A7765" w:rsidRDefault="00000000">
      <w:pPr>
        <w:pStyle w:val="NormalWeb"/>
        <w:jc w:val="both"/>
        <w:rPr>
          <w:rFonts w:ascii="Calibri" w:hAnsi="Calibri" w:cs="Calibri"/>
          <w:sz w:val="22"/>
          <w:szCs w:val="22"/>
          <w:lang w:val="es-ES"/>
        </w:rPr>
      </w:pPr>
      <w:r w:rsidRPr="005E6E99">
        <w:rPr>
          <w:rFonts w:ascii="Calibri" w:hAnsi="Calibri" w:cs="Calibri"/>
          <w:sz w:val="22"/>
          <w:szCs w:val="22"/>
          <w:lang w:val="es-CO"/>
        </w:rPr>
        <w:t xml:space="preserve">A continuación, se presenta el resumen ejecutivo correspondiente al </w:t>
      </w:r>
      <w:r>
        <w:rPr>
          <w:rFonts w:ascii="Calibri" w:hAnsi="Calibri" w:cs="Calibri"/>
          <w:sz w:val="22"/>
          <w:szCs w:val="22"/>
          <w:lang w:val="es-ES"/>
        </w:rPr>
        <w:t>documento MANUAL OPERATIVO P.A. FINDETER MININTERIOR BANCO DE PROYECTOS 4.0</w:t>
      </w:r>
    </w:p>
    <w:p w14:paraId="50570E46" w14:textId="77777777" w:rsidR="006A7765" w:rsidRDefault="006A7765">
      <w:pPr>
        <w:pStyle w:val="NormalWeb"/>
        <w:jc w:val="both"/>
        <w:rPr>
          <w:rFonts w:ascii="Calibri" w:hAnsi="Calibri" w:cs="Calibri"/>
          <w:b/>
          <w:bCs/>
          <w:sz w:val="22"/>
          <w:szCs w:val="22"/>
          <w:lang w:val="es-ES"/>
        </w:rPr>
      </w:pPr>
    </w:p>
    <w:p w14:paraId="36CB75D0" w14:textId="77777777" w:rsidR="006A7765" w:rsidRDefault="00000000">
      <w:pPr>
        <w:pStyle w:val="NormalWeb"/>
        <w:jc w:val="both"/>
        <w:rPr>
          <w:rFonts w:ascii="Calibri" w:hAnsi="Calibri" w:cs="Calibri"/>
          <w:b/>
          <w:bCs/>
          <w:sz w:val="22"/>
          <w:szCs w:val="22"/>
          <w:lang w:val="es-ES"/>
        </w:rPr>
      </w:pPr>
      <w:r>
        <w:rPr>
          <w:rFonts w:ascii="Calibri" w:hAnsi="Calibri" w:cs="Calibri"/>
          <w:b/>
          <w:bCs/>
          <w:sz w:val="22"/>
          <w:szCs w:val="22"/>
          <w:lang w:val="es-ES"/>
        </w:rPr>
        <w:t>Resumen ejecutivo MANUAL OPERATIVO P.A. FINDETER MININTERIOR BANCO DE PROYECTOS 4.0.</w:t>
      </w:r>
    </w:p>
    <w:p w14:paraId="367372FF" w14:textId="77777777" w:rsidR="006A7765" w:rsidRDefault="00000000">
      <w:pPr>
        <w:pStyle w:val="NormalWeb"/>
        <w:jc w:val="both"/>
        <w:rPr>
          <w:rFonts w:ascii="Calibri" w:hAnsi="Calibri" w:cs="Calibri"/>
          <w:sz w:val="22"/>
          <w:szCs w:val="22"/>
          <w:lang w:val="es-ES"/>
        </w:rPr>
      </w:pPr>
      <w:r>
        <w:rPr>
          <w:rFonts w:ascii="Calibri" w:hAnsi="Calibri" w:cs="Calibri"/>
          <w:sz w:val="22"/>
          <w:szCs w:val="22"/>
          <w:lang w:val="es-ES"/>
        </w:rPr>
        <w:t>El Manual Operativo del PATRIMONIO AUTÓNOMO FINDETER – MININTERIOR BANCO DE PROYECTOS 4.0 establece los lineamientos técnicos, administrativos, financieros, contractuales y operativos para la administración de los recursos y la ejecución de los procesos de contratación derivados del Contrato Interadministrativo No. 1773 de 2025 suscrito entre el Ministerio del Interior y FINDETER.</w:t>
      </w:r>
    </w:p>
    <w:p w14:paraId="060F7097" w14:textId="77777777" w:rsidR="006A7765" w:rsidRDefault="00000000">
      <w:pPr>
        <w:pStyle w:val="NormalWeb"/>
        <w:jc w:val="both"/>
        <w:rPr>
          <w:rFonts w:ascii="Calibri" w:hAnsi="Calibri" w:cs="Calibri"/>
          <w:sz w:val="22"/>
          <w:szCs w:val="22"/>
          <w:lang w:val="es-ES"/>
        </w:rPr>
      </w:pPr>
      <w:r>
        <w:rPr>
          <w:rFonts w:ascii="Calibri" w:hAnsi="Calibri" w:cs="Calibri"/>
          <w:sz w:val="22"/>
          <w:szCs w:val="22"/>
          <w:lang w:val="es-ES"/>
        </w:rPr>
        <w:t>El documento define las responsabilidades de FINDETER, FIDUAGRARIA S.A. y de los diferentes órganos de decisión del patrimonio autónomo, particularmente del Comité Técnico y del Comité Fiduciario, precisando sus competencias en materia de estructuración, evaluación, selección, contratación, supervisión, pagos y seguimiento de los proyectos.</w:t>
      </w:r>
    </w:p>
    <w:p w14:paraId="195EFD11" w14:textId="77777777" w:rsidR="006A7765" w:rsidRDefault="00000000">
      <w:pPr>
        <w:pStyle w:val="NormalWeb"/>
        <w:jc w:val="both"/>
        <w:rPr>
          <w:rFonts w:ascii="Calibri" w:hAnsi="Calibri" w:cs="Calibri"/>
          <w:sz w:val="22"/>
          <w:szCs w:val="22"/>
          <w:lang w:val="es-ES"/>
        </w:rPr>
      </w:pPr>
      <w:r>
        <w:rPr>
          <w:rFonts w:ascii="Calibri" w:hAnsi="Calibri" w:cs="Calibri"/>
          <w:sz w:val="22"/>
          <w:szCs w:val="22"/>
          <w:lang w:val="es-ES"/>
        </w:rPr>
        <w:t xml:space="preserve">En materia financiera y operativa, el manual regula el procedimiento para pagos y desembolsos, estableciendo requisitos documentales, validaciones, controles, tiempos de respuesta, manejo de soportes, verificación de disponibilidad de recursos, obligaciones </w:t>
      </w:r>
      <w:r>
        <w:rPr>
          <w:rFonts w:ascii="Calibri" w:hAnsi="Calibri" w:cs="Calibri"/>
          <w:sz w:val="22"/>
          <w:szCs w:val="22"/>
          <w:lang w:val="es-ES"/>
        </w:rPr>
        <w:lastRenderedPageBreak/>
        <w:t>tributarias y lineamientos para la administración fiduciaria de los recursos del patrimonio autónomo.</w:t>
      </w:r>
    </w:p>
    <w:p w14:paraId="6C1F2F18" w14:textId="77777777" w:rsidR="006A7765" w:rsidRDefault="00000000">
      <w:pPr>
        <w:pStyle w:val="NormalWeb"/>
        <w:jc w:val="both"/>
        <w:rPr>
          <w:rFonts w:ascii="Calibri" w:hAnsi="Calibri" w:cs="Calibri"/>
          <w:sz w:val="22"/>
          <w:szCs w:val="22"/>
          <w:lang w:val="es-ES"/>
        </w:rPr>
      </w:pPr>
      <w:r>
        <w:rPr>
          <w:rFonts w:ascii="Calibri" w:hAnsi="Calibri" w:cs="Calibri"/>
          <w:sz w:val="22"/>
          <w:szCs w:val="22"/>
          <w:lang w:val="es-ES"/>
        </w:rPr>
        <w:t>Igualmente, desarrolla el régimen legal aplicable, señalando que la contratación se regirá principalmente por normas de derecho privado, el Código de Comercio y el Estatuto Orgánico del Sistema Financiero, incorporando además el marco normativo relacionado con contratación comunitaria, convenios solidarios, economía popular, organizaciones comunales, comunidades étnicas y asociaciones público-populares.</w:t>
      </w:r>
    </w:p>
    <w:p w14:paraId="035E9539" w14:textId="77777777" w:rsidR="006A7765" w:rsidRDefault="00000000">
      <w:pPr>
        <w:pStyle w:val="NormalWeb"/>
        <w:jc w:val="both"/>
        <w:rPr>
          <w:rFonts w:ascii="Calibri" w:hAnsi="Calibri" w:cs="Calibri"/>
          <w:sz w:val="22"/>
          <w:szCs w:val="22"/>
          <w:lang w:val="es-ES"/>
        </w:rPr>
      </w:pPr>
      <w:r>
        <w:rPr>
          <w:rFonts w:ascii="Calibri" w:hAnsi="Calibri" w:cs="Calibri"/>
          <w:sz w:val="22"/>
          <w:szCs w:val="22"/>
          <w:lang w:val="es-ES"/>
        </w:rPr>
        <w:t>El manual establece los principios rectores de la contratación, entre ellos transparencia, economía, eficiencia, selección objetiva, publicidad, igualdad y moralidad, así como las responsabilidades de FINDETER y FIDUAGRARIA S.A. dentro de las etapas precontractual, contractual y de liquidación.</w:t>
      </w:r>
    </w:p>
    <w:p w14:paraId="5E8F5597" w14:textId="77777777" w:rsidR="006A7765" w:rsidRDefault="00000000">
      <w:pPr>
        <w:pStyle w:val="NormalWeb"/>
        <w:jc w:val="both"/>
        <w:rPr>
          <w:rFonts w:ascii="Calibri" w:hAnsi="Calibri" w:cs="Calibri"/>
          <w:sz w:val="22"/>
          <w:szCs w:val="22"/>
          <w:lang w:val="es-ES"/>
        </w:rPr>
      </w:pPr>
      <w:r>
        <w:rPr>
          <w:rFonts w:ascii="Calibri" w:hAnsi="Calibri" w:cs="Calibri"/>
          <w:sz w:val="22"/>
          <w:szCs w:val="22"/>
          <w:lang w:val="es-ES"/>
        </w:rPr>
        <w:t>De igual forma, regula las modalidades de selección aplicables, incluyendo convocatoria pública, selección pública en banco de proyectos, convocatoria privada, invitación a ofertar y contratación directa, definiendo sus causales, procedimientos y etapas de evaluación y adjudicación.</w:t>
      </w:r>
    </w:p>
    <w:p w14:paraId="3BD3704D" w14:textId="77777777" w:rsidR="006A7765" w:rsidRDefault="00000000">
      <w:pPr>
        <w:pStyle w:val="NormalWeb"/>
        <w:jc w:val="both"/>
        <w:rPr>
          <w:rFonts w:ascii="Calibri" w:hAnsi="Calibri" w:cs="Calibri"/>
          <w:sz w:val="22"/>
          <w:szCs w:val="22"/>
          <w:lang w:val="es-ES"/>
        </w:rPr>
      </w:pPr>
      <w:r>
        <w:rPr>
          <w:rFonts w:ascii="Calibri" w:hAnsi="Calibri" w:cs="Calibri"/>
          <w:sz w:val="22"/>
          <w:szCs w:val="22"/>
          <w:lang w:val="es-ES"/>
        </w:rPr>
        <w:t>El documento también contempla los procedimientos para elaboración de estudios previos, términos de referencia, observaciones, evaluación de ofertas, suscripción de contratos, validación SARLAFT, legalización documental, ejecución contractual, terminación y liquidación de contratos.</w:t>
      </w:r>
    </w:p>
    <w:p w14:paraId="398809C6" w14:textId="77777777" w:rsidR="006A7765" w:rsidRDefault="00000000">
      <w:pPr>
        <w:pStyle w:val="NormalWeb"/>
        <w:jc w:val="both"/>
        <w:rPr>
          <w:rFonts w:ascii="Calibri" w:hAnsi="Calibri" w:cs="Calibri"/>
          <w:sz w:val="22"/>
          <w:szCs w:val="22"/>
          <w:lang w:val="es-ES"/>
        </w:rPr>
      </w:pPr>
      <w:r>
        <w:rPr>
          <w:rFonts w:ascii="Calibri" w:hAnsi="Calibri" w:cs="Calibri"/>
          <w:sz w:val="22"/>
          <w:szCs w:val="22"/>
          <w:lang w:val="es-ES"/>
        </w:rPr>
        <w:t>Adicionalmente, incorpora disposiciones relacionadas con garantías contractuales, manejo de pólizas, declaración de siniestros, supervisión y seguimiento de proyectos, así como obligaciones de reporte e informes periódicos por parte de FIDUAGRARIA S.A. respecto de la ejecución financiera, contractual y operativa del patrimonio autónomo.</w:t>
      </w:r>
    </w:p>
    <w:p w14:paraId="32EBB591" w14:textId="77777777" w:rsidR="006A7765" w:rsidRDefault="00000000">
      <w:pPr>
        <w:pStyle w:val="NormalWeb"/>
        <w:jc w:val="both"/>
        <w:rPr>
          <w:rFonts w:ascii="Calibri" w:hAnsi="Calibri" w:cs="Calibri"/>
          <w:sz w:val="22"/>
          <w:szCs w:val="22"/>
          <w:lang w:val="es-ES"/>
        </w:rPr>
      </w:pPr>
      <w:r>
        <w:rPr>
          <w:rFonts w:ascii="Calibri" w:hAnsi="Calibri" w:cs="Calibri"/>
          <w:sz w:val="22"/>
          <w:szCs w:val="22"/>
          <w:lang w:val="es-ES"/>
        </w:rPr>
        <w:t>Finalmente, el manual incluye los anexos operativos requeridos para la ejecución contractual y financiera, entre ellos formatos de instrucción de pago y listas de chequeo documentales aplicables a contratos, órdenes de servicio, otrosíes, suspensiones, reinicios y liquidaciones.</w:t>
      </w:r>
    </w:p>
    <w:p w14:paraId="17A13DD7" w14:textId="77777777" w:rsidR="006A7765" w:rsidRDefault="006A7765">
      <w:pPr>
        <w:pStyle w:val="NormalWeb"/>
        <w:jc w:val="both"/>
        <w:rPr>
          <w:rFonts w:ascii="Calibri" w:hAnsi="Calibri" w:cs="Calibri"/>
          <w:sz w:val="22"/>
          <w:szCs w:val="22"/>
          <w:lang w:val="es-ES"/>
        </w:rPr>
      </w:pPr>
    </w:p>
    <w:p w14:paraId="1FCE237F" w14:textId="77777777" w:rsidR="006A7765" w:rsidRPr="005E6E99" w:rsidRDefault="00000000">
      <w:pPr>
        <w:pStyle w:val="NormalWeb"/>
        <w:jc w:val="both"/>
        <w:rPr>
          <w:rFonts w:ascii="Calibri" w:hAnsi="Calibri" w:cs="Calibri"/>
          <w:i/>
          <w:iCs/>
          <w:sz w:val="22"/>
          <w:szCs w:val="22"/>
          <w:lang w:val="es-CO"/>
        </w:rPr>
      </w:pPr>
      <w:r w:rsidRPr="005E6E99">
        <w:rPr>
          <w:rFonts w:ascii="Calibri" w:hAnsi="Calibri" w:cs="Calibri"/>
          <w:i/>
          <w:iCs/>
          <w:sz w:val="22"/>
          <w:szCs w:val="22"/>
          <w:lang w:val="es-CO"/>
        </w:rPr>
        <w:t>Posteriormente, se realizó la convocatoria formal al Comité Fiduciario Virtual No. 1, cuya agenda contempló los siguientes puntos:</w:t>
      </w:r>
    </w:p>
    <w:p w14:paraId="42347011" w14:textId="77777777" w:rsidR="006A7765" w:rsidRDefault="00000000">
      <w:pPr>
        <w:numPr>
          <w:ilvl w:val="0"/>
          <w:numId w:val="1"/>
        </w:numPr>
        <w:spacing w:beforeAutospacing="1" w:afterAutospacing="1"/>
        <w:jc w:val="both"/>
        <w:rPr>
          <w:rFonts w:ascii="Calibri" w:hAnsi="Calibri" w:cs="Calibri"/>
          <w:i/>
          <w:iCs/>
          <w:sz w:val="22"/>
          <w:szCs w:val="22"/>
        </w:rPr>
      </w:pPr>
      <w:proofErr w:type="spellStart"/>
      <w:r>
        <w:rPr>
          <w:rFonts w:ascii="Calibri" w:hAnsi="Calibri" w:cs="Calibri"/>
          <w:i/>
          <w:iCs/>
          <w:sz w:val="22"/>
          <w:szCs w:val="22"/>
        </w:rPr>
        <w:t>Verificación</w:t>
      </w:r>
      <w:proofErr w:type="spellEnd"/>
      <w:r>
        <w:rPr>
          <w:rFonts w:ascii="Calibri" w:hAnsi="Calibri" w:cs="Calibri"/>
          <w:i/>
          <w:iCs/>
          <w:sz w:val="22"/>
          <w:szCs w:val="22"/>
        </w:rPr>
        <w:t xml:space="preserve"> del </w:t>
      </w:r>
      <w:proofErr w:type="spellStart"/>
      <w:r>
        <w:rPr>
          <w:rFonts w:ascii="Calibri" w:hAnsi="Calibri" w:cs="Calibri"/>
          <w:i/>
          <w:iCs/>
          <w:sz w:val="22"/>
          <w:szCs w:val="22"/>
        </w:rPr>
        <w:t>quórum</w:t>
      </w:r>
      <w:proofErr w:type="spellEnd"/>
      <w:r>
        <w:rPr>
          <w:rFonts w:ascii="Calibri" w:hAnsi="Calibri" w:cs="Calibri"/>
          <w:i/>
          <w:iCs/>
          <w:sz w:val="22"/>
          <w:szCs w:val="22"/>
        </w:rPr>
        <w:t xml:space="preserve">. </w:t>
      </w:r>
    </w:p>
    <w:p w14:paraId="70BC071A" w14:textId="77777777" w:rsidR="006A7765" w:rsidRPr="005E6E99" w:rsidRDefault="00000000">
      <w:pPr>
        <w:numPr>
          <w:ilvl w:val="0"/>
          <w:numId w:val="1"/>
        </w:numPr>
        <w:spacing w:beforeAutospacing="1" w:afterAutospacing="1"/>
        <w:jc w:val="both"/>
        <w:rPr>
          <w:rFonts w:ascii="Calibri" w:hAnsi="Calibri" w:cs="Calibri"/>
          <w:i/>
          <w:iCs/>
          <w:sz w:val="22"/>
          <w:szCs w:val="22"/>
          <w:lang w:val="es-CO"/>
        </w:rPr>
      </w:pPr>
      <w:r w:rsidRPr="005E6E99">
        <w:rPr>
          <w:rFonts w:ascii="Calibri" w:hAnsi="Calibri" w:cs="Calibri"/>
          <w:i/>
          <w:iCs/>
          <w:sz w:val="22"/>
          <w:szCs w:val="22"/>
          <w:lang w:val="es-CO"/>
        </w:rPr>
        <w:t xml:space="preserve">Presentación y aprobación del Manual Operativo del PATRIMONIO AUTÓNOMO FINDETER – MININTERIOR BANCO DE PROYECTOS 4.0. </w:t>
      </w:r>
    </w:p>
    <w:p w14:paraId="786962DC" w14:textId="77777777" w:rsidR="006A7765" w:rsidRDefault="00000000">
      <w:pPr>
        <w:numPr>
          <w:ilvl w:val="0"/>
          <w:numId w:val="1"/>
        </w:numPr>
        <w:spacing w:beforeAutospacing="1" w:afterAutospacing="1"/>
        <w:jc w:val="both"/>
        <w:rPr>
          <w:rFonts w:ascii="Calibri" w:hAnsi="Calibri" w:cs="Calibri"/>
          <w:i/>
          <w:iCs/>
          <w:sz w:val="22"/>
          <w:szCs w:val="22"/>
        </w:rPr>
      </w:pPr>
      <w:proofErr w:type="spellStart"/>
      <w:r>
        <w:rPr>
          <w:rFonts w:ascii="Calibri" w:hAnsi="Calibri" w:cs="Calibri"/>
          <w:i/>
          <w:iCs/>
          <w:sz w:val="22"/>
          <w:szCs w:val="22"/>
        </w:rPr>
        <w:t>Proposiciones</w:t>
      </w:r>
      <w:proofErr w:type="spellEnd"/>
      <w:r>
        <w:rPr>
          <w:rFonts w:ascii="Calibri" w:hAnsi="Calibri" w:cs="Calibri"/>
          <w:i/>
          <w:iCs/>
          <w:sz w:val="22"/>
          <w:szCs w:val="22"/>
        </w:rPr>
        <w:t xml:space="preserve"> y </w:t>
      </w:r>
      <w:proofErr w:type="spellStart"/>
      <w:r>
        <w:rPr>
          <w:rFonts w:ascii="Calibri" w:hAnsi="Calibri" w:cs="Calibri"/>
          <w:i/>
          <w:iCs/>
          <w:sz w:val="22"/>
          <w:szCs w:val="22"/>
        </w:rPr>
        <w:t>varios</w:t>
      </w:r>
      <w:proofErr w:type="spellEnd"/>
      <w:r>
        <w:rPr>
          <w:rFonts w:ascii="Calibri" w:hAnsi="Calibri" w:cs="Calibri"/>
          <w:i/>
          <w:iCs/>
          <w:sz w:val="22"/>
          <w:szCs w:val="22"/>
        </w:rPr>
        <w:t xml:space="preserve">. </w:t>
      </w:r>
    </w:p>
    <w:p w14:paraId="7E0279D8" w14:textId="77777777" w:rsidR="006A7765" w:rsidRDefault="006A7765">
      <w:pPr>
        <w:tabs>
          <w:tab w:val="left" w:pos="720"/>
        </w:tabs>
        <w:spacing w:beforeAutospacing="1" w:afterAutospacing="1"/>
        <w:jc w:val="both"/>
        <w:rPr>
          <w:rFonts w:ascii="Calibri" w:hAnsi="Calibri" w:cs="Calibri"/>
          <w:i/>
          <w:iCs/>
          <w:sz w:val="22"/>
          <w:szCs w:val="22"/>
        </w:rPr>
      </w:pPr>
    </w:p>
    <w:p w14:paraId="40095146"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 xml:space="preserve">Durante el desarrollo de la sesión se verificó la conformación del quórum </w:t>
      </w:r>
      <w:proofErr w:type="spellStart"/>
      <w:r w:rsidRPr="005E6E99">
        <w:rPr>
          <w:rFonts w:ascii="Calibri" w:hAnsi="Calibri" w:cs="Calibri"/>
          <w:sz w:val="22"/>
          <w:szCs w:val="22"/>
          <w:lang w:val="es-CO"/>
        </w:rPr>
        <w:t>deliberatorio</w:t>
      </w:r>
      <w:proofErr w:type="spellEnd"/>
      <w:r w:rsidRPr="005E6E99">
        <w:rPr>
          <w:rFonts w:ascii="Calibri" w:hAnsi="Calibri" w:cs="Calibri"/>
          <w:sz w:val="22"/>
          <w:szCs w:val="22"/>
          <w:lang w:val="es-CO"/>
        </w:rPr>
        <w:t xml:space="preserve"> y decisorio conforme a la integración establecida para el Comité Fiduciario. Así mismo, fueron </w:t>
      </w:r>
      <w:r w:rsidRPr="005E6E99">
        <w:rPr>
          <w:rFonts w:ascii="Calibri" w:hAnsi="Calibri" w:cs="Calibri"/>
          <w:sz w:val="22"/>
          <w:szCs w:val="22"/>
          <w:lang w:val="es-CO"/>
        </w:rPr>
        <w:lastRenderedPageBreak/>
        <w:t>presentadas observaciones y precisiones por parte de algunas dependencias y delegados participantes, relacionadas principalmente con aspectos de representación y ajustes operativos del documento sometido a consideración.</w:t>
      </w:r>
    </w:p>
    <w:p w14:paraId="407FC35F"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El Comité revisó el contenido del Manual Operativo, documento mediante el cual se establecen los lineamientos administrativos, financieros, fiduciarios, contractuales y operativos para la administración de recursos y ejecución de procesos derivados del Contrato Interadministrativo No. 1773 de 2025, incluyendo procedimientos de pagos y desembolsos, modalidades de contratación, supervisión, garantías, contratación derivada y seguimiento de proyectos.</w:t>
      </w:r>
    </w:p>
    <w:p w14:paraId="0076DE4B"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En atención a los compromisos definidos en la reunión adelantada el 26 de noviembre de 2025, se informó la cancelación del Comité Fiduciario Virtual No. 1, con el fin de consolidar las observaciones y ajustes formulados al borrador del Manual Operativo del Patrimonio Autónomo FINDETER – Ministerio del Interior Banco de Proyectos 4.0, otorgándose plazo para la remisión de comentarios por parte de las dependencias involucradas.</w:t>
      </w:r>
    </w:p>
    <w:p w14:paraId="6B3AA15C"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En ese marco, la Dirección de Asuntos Religiosos presentó observaciones orientadas al fortalecimiento de los componentes operativos y de control del Manual, solicitando mayor claridad frente a la estructura de comunicación con la fiduciaria, periodicidad de los comités, participación institucional en el Comité Financiero, procedimientos para evaluación de iniciativas, flujo de recursos, anexos operativos y lineamientos de contratación derivada.</w:t>
      </w:r>
    </w:p>
    <w:p w14:paraId="434D3684"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De igual forma, la Dirección de Asuntos para Comunidades Negras, Afrocolombianas, Raizales y Palenqueras remitió observaciones relacionadas con la coherencia documental, definición precisa de roles entre las entidades participantes, formalización de procedimientos de votación y funcionamiento de los comités, fortalecimiento de los mecanismos de seguimiento fiduciario y financiero, incorporación de matrices de responsabilidades y mejora en los procedimientos de pagos, contingencias y reembolsos.</w:t>
      </w:r>
    </w:p>
    <w:p w14:paraId="04314125"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Las observaciones remitidas tuvieron como finalidad fortalecer la claridad operativa, la trazabilidad de los procesos y los mecanismos de control y gobernanza del Patrimonio Autónomo previo a la aprobación definitiva del Manual Operativo.</w:t>
      </w:r>
    </w:p>
    <w:p w14:paraId="709CDE16" w14:textId="77777777" w:rsidR="006A7765" w:rsidRDefault="00000000">
      <w:pPr>
        <w:pStyle w:val="NormalWeb"/>
        <w:jc w:val="both"/>
        <w:rPr>
          <w:rFonts w:ascii="Calibri" w:hAnsi="Calibri" w:cs="Calibri"/>
          <w:i/>
          <w:iCs/>
          <w:sz w:val="22"/>
          <w:szCs w:val="22"/>
          <w:lang w:val="es-ES"/>
        </w:rPr>
      </w:pPr>
      <w:r w:rsidRPr="005E6E99">
        <w:rPr>
          <w:rFonts w:ascii="Calibri" w:hAnsi="Calibri" w:cs="Calibri"/>
          <w:i/>
          <w:iCs/>
          <w:sz w:val="22"/>
          <w:szCs w:val="22"/>
          <w:lang w:val="es-CO"/>
        </w:rPr>
        <w:t xml:space="preserve">En el marco del Comité Fiduciario Virtual No. 1 del Patrimonio Autónomo Findeter – </w:t>
      </w:r>
      <w:proofErr w:type="spellStart"/>
      <w:r w:rsidRPr="005E6E99">
        <w:rPr>
          <w:rFonts w:ascii="Calibri" w:hAnsi="Calibri" w:cs="Calibri"/>
          <w:i/>
          <w:iCs/>
          <w:sz w:val="22"/>
          <w:szCs w:val="22"/>
          <w:lang w:val="es-CO"/>
        </w:rPr>
        <w:t>MinInterior</w:t>
      </w:r>
      <w:proofErr w:type="spellEnd"/>
      <w:r w:rsidRPr="005E6E99">
        <w:rPr>
          <w:rFonts w:ascii="Calibri" w:hAnsi="Calibri" w:cs="Calibri"/>
          <w:i/>
          <w:iCs/>
          <w:sz w:val="22"/>
          <w:szCs w:val="22"/>
          <w:lang w:val="es-CO"/>
        </w:rPr>
        <w:t xml:space="preserve"> Banco de Proyectos 4.0, se realizó una nueva convocatoria mediante correo electrónico remitido el viernes 28 de noviembre de 2025, programando el desarrollo de la sesión virtual. En dicha convocatoria se adjuntó la versión ajustada del Manual Operativo, incorporando las observaciones y recomendaciones presentadas por las Direcciones del Ministerio del Interior</w:t>
      </w:r>
      <w:r>
        <w:rPr>
          <w:rFonts w:ascii="Calibri" w:hAnsi="Calibri" w:cs="Calibri"/>
          <w:i/>
          <w:iCs/>
          <w:sz w:val="22"/>
          <w:szCs w:val="22"/>
          <w:lang w:val="es-ES"/>
        </w:rPr>
        <w:t>.</w:t>
      </w:r>
    </w:p>
    <w:p w14:paraId="4D00F44B" w14:textId="77777777" w:rsidR="006A7765" w:rsidRPr="005E6E99" w:rsidRDefault="00000000">
      <w:pPr>
        <w:pStyle w:val="NormalWeb"/>
        <w:jc w:val="both"/>
        <w:rPr>
          <w:rFonts w:ascii="Calibri" w:hAnsi="Calibri" w:cs="Calibri"/>
          <w:i/>
          <w:iCs/>
          <w:sz w:val="22"/>
          <w:szCs w:val="22"/>
          <w:lang w:val="es-CO"/>
        </w:rPr>
      </w:pPr>
      <w:r w:rsidRPr="005E6E99">
        <w:rPr>
          <w:rFonts w:ascii="Calibri" w:hAnsi="Calibri" w:cs="Calibri"/>
          <w:i/>
          <w:iCs/>
          <w:sz w:val="22"/>
          <w:szCs w:val="22"/>
          <w:lang w:val="es-CO"/>
        </w:rPr>
        <w:t xml:space="preserve">Como resultado de estas observaciones, el nuevo manual presentó ajustes orientados a fortalecer los procedimientos operativos, de supervisión, seguimiento y control documental de los proyectos y convenios solidarios. Entre los principales cambios se incluyó una mayor precisión en el procedimiento para declaración de siniestros y manejo de pólizas, la definición más detallada de las responsabilidades de supervisión y seguimiento técnico, administrativo y financiero, así como la incorporación y actualización de anexos y listas de chequeo para </w:t>
      </w:r>
      <w:r w:rsidRPr="005E6E99">
        <w:rPr>
          <w:rFonts w:ascii="Calibri" w:hAnsi="Calibri" w:cs="Calibri"/>
          <w:i/>
          <w:iCs/>
          <w:sz w:val="22"/>
          <w:szCs w:val="22"/>
          <w:lang w:val="es-CO"/>
        </w:rPr>
        <w:lastRenderedPageBreak/>
        <w:t>pagos, desembolsos y validación documental. Asimismo, se fortalecieron los lineamientos relacionados con la rendición de cuentas, informes periódicos y control de ejecución financiera del patrimonio autónomo, atendiendo las recomendaciones formuladas por las dependencias del Ministerio del Interior durante el proceso de revisión del documento.</w:t>
      </w:r>
    </w:p>
    <w:p w14:paraId="38A8B64A"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Frente al manual anterior, el nuevo Manual Operativo del PATRIMONIO AUTÓNOMO FINDETER MININTERIOR BANCO DE PROYECTOS 4.0 presenta cambios estructurales importantes orientados a fortalecer la contratación comunitaria, étnica y territorial, ampliando el alcance jurídico y operativo de los mecanismos de participación de organizaciones sociales y de economía popular.</w:t>
      </w:r>
    </w:p>
    <w:p w14:paraId="3B6614F1"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Entre los principales cambios, se evidencia una ampliación del sustento normativo incorporando disposiciones recientes como la Ley 2069 de 2020, la Ley 2166 de 2021, la Ley 2294 de 2023 – Plan Nacional de Desarrollo y el Decreto 0142 de 2023, con lo cual el manual deja de enfocarse únicamente en esquemas tradicionales de contratación y pasa a integrar expresamente figuras como convenios solidarios, asociaciones público-populares y contratación con actores de la economía solidaria y comunitaria.</w:t>
      </w:r>
    </w:p>
    <w:p w14:paraId="563E3625"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El nuevo manual amplía de manera expresa la posibilidad de contratación con juntas de acción comunal, cabildos indígenas, consejos indígenas, asociaciones de autoridades tradicionales indígenas, consejos comunitarios afrocolombianos, organizaciones de base afro, raizales y palenqueras, asociaciones campesinas y demás formas organizativas del territorio, reconociendo su participación directa en la ejecución de proyectos financiados mediante el Banco de Proyectos 4.0.</w:t>
      </w:r>
    </w:p>
    <w:p w14:paraId="2BB0060E"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Asimismo, se</w:t>
      </w:r>
      <w:r>
        <w:rPr>
          <w:rFonts w:ascii="Calibri" w:hAnsi="Calibri" w:cs="Calibri"/>
          <w:sz w:val="22"/>
          <w:szCs w:val="22"/>
          <w:lang w:val="es-ES"/>
        </w:rPr>
        <w:t xml:space="preserve"> </w:t>
      </w:r>
      <w:r w:rsidRPr="005E6E99">
        <w:rPr>
          <w:rFonts w:ascii="Calibri" w:hAnsi="Calibri" w:cs="Calibri"/>
          <w:sz w:val="22"/>
          <w:szCs w:val="22"/>
          <w:lang w:val="es-CO"/>
        </w:rPr>
        <w:t>incorpora formalmente la modalidad denominada “Selección Pública de Propuestas en Banco de Proyectos”, bajo criterios de publicidad, transparencia, pluralidad de iniciativas y selección objetiva, lo cual representa un cambio relevante frente al modelo anterior, ya que permite estructurar procesos enfocados específicamente en iniciativas comunitarias y territoriales y no únicamente en contratación convencional.</w:t>
      </w:r>
    </w:p>
    <w:p w14:paraId="1AE50E0C"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Otro cambio significativo consiste en la ampliación de las causales de contratación directa, permitiendo la celebración de convenios solidarios y contratos con organizaciones comunitarias y étnicas para ejecutar proyectos relacionados con infraestructura social, cultura, vivienda rural, vías terciarias, producción de alimentos, saneamiento básico, fortalecimiento ambiental, economía del cuidado y fortalecimiento organizativo y territorial.</w:t>
      </w:r>
    </w:p>
    <w:p w14:paraId="6058965C"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También se evidencia un fortalecimiento del enfoque diferencial y territorial, alineado con instrumentos derivados del Acuerdo Final de Paz, incluyendo referencias expresas a PDET, PATR y proyectos asociados al desarrollo territorial y comunitario.</w:t>
      </w:r>
    </w:p>
    <w:p w14:paraId="418D2382"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En materia operativa, el nuevo manual redefine el esquema de seguimiento contractual, estableciendo que los proyectos serán supervisados directamente por FINDETER sin necesidad de interventoría, decisión que simplifica la operación contractual y reduce cargas administrativas, pero al mismo tiempo incrementa la responsabilidad de los supervisores designados.</w:t>
      </w:r>
    </w:p>
    <w:p w14:paraId="5E981521"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lastRenderedPageBreak/>
        <w:t>Igualmente, se actualizaron los anexos, formatos y listas de chequeo documentales, incorporando requisitos específicos para organizaciones comunitarias, juntas de acción comunal y estructuras étnicas, incluyendo validaciones mediante resoluciones, certificaciones del Ministerio del Interior y esquemas simplificados de desembolso para convenios solidarios sin interventoría.</w:t>
      </w:r>
    </w:p>
    <w:p w14:paraId="0B6F8A34" w14:textId="77777777" w:rsidR="006A7765" w:rsidRPr="005E6E99" w:rsidRDefault="00000000">
      <w:pPr>
        <w:pStyle w:val="NormalWeb"/>
        <w:jc w:val="both"/>
        <w:rPr>
          <w:rFonts w:ascii="Calibri" w:hAnsi="Calibri" w:cs="Calibri"/>
          <w:sz w:val="22"/>
          <w:szCs w:val="22"/>
          <w:lang w:val="es-CO"/>
        </w:rPr>
      </w:pPr>
      <w:r w:rsidRPr="005E6E99">
        <w:rPr>
          <w:rFonts w:ascii="Calibri" w:hAnsi="Calibri" w:cs="Calibri"/>
          <w:sz w:val="22"/>
          <w:szCs w:val="22"/>
          <w:lang w:val="es-CO"/>
        </w:rPr>
        <w:t>Finalmente, el nuevo manual fortalece la delimitación de competencias entre FINDETER, FIDUAGRARIA, el Comité Técnico y el Comité Fiduciario, precisando responsabilidades en evaluación, selección, supervisión, administración fiduciaria, SARLAFT, manejo de garantías, pagos y seguimiento contractual, consolidando un modelo más especializado para la ejecución de proyectos sociales y comunitarios bajo régimen de derecho privado.</w:t>
      </w:r>
    </w:p>
    <w:p w14:paraId="51159FFE" w14:textId="77777777" w:rsidR="006A7765" w:rsidRDefault="00000000">
      <w:pPr>
        <w:jc w:val="both"/>
        <w:rPr>
          <w:i/>
          <w:iCs/>
          <w:sz w:val="22"/>
          <w:szCs w:val="22"/>
          <w:lang w:val="es-ES"/>
        </w:rPr>
      </w:pPr>
      <w:r>
        <w:rPr>
          <w:i/>
          <w:iCs/>
          <w:sz w:val="22"/>
          <w:szCs w:val="22"/>
          <w:lang w:val="es-ES"/>
        </w:rPr>
        <w:t xml:space="preserve">Surtido el proceso de revisión y votación correspondiente por parte de los miembros del Comité Fiduciario con derecho a voto, fue aprobada la versión ajustada del Manual Operativo del Patrimonio Autónomo Findeter – </w:t>
      </w:r>
      <w:proofErr w:type="spellStart"/>
      <w:r>
        <w:rPr>
          <w:i/>
          <w:iCs/>
          <w:sz w:val="22"/>
          <w:szCs w:val="22"/>
          <w:lang w:val="es-ES"/>
        </w:rPr>
        <w:t>MinInterior</w:t>
      </w:r>
      <w:proofErr w:type="spellEnd"/>
      <w:r>
        <w:rPr>
          <w:i/>
          <w:iCs/>
          <w:sz w:val="22"/>
          <w:szCs w:val="22"/>
          <w:lang w:val="es-ES"/>
        </w:rPr>
        <w:t xml:space="preserve"> Banco de Proyectos 4.0, Una vez realizado el proceso de revisión y votación por parte de los miembros del Comité Fiduciario con derecho a voto, fue aprobada la versión ajustada del Manual Operativo del Patrimonio Autónomo Findeter – </w:t>
      </w:r>
      <w:proofErr w:type="spellStart"/>
      <w:r>
        <w:rPr>
          <w:i/>
          <w:iCs/>
          <w:sz w:val="22"/>
          <w:szCs w:val="22"/>
          <w:lang w:val="es-ES"/>
        </w:rPr>
        <w:t>MinInterior</w:t>
      </w:r>
      <w:proofErr w:type="spellEnd"/>
      <w:r>
        <w:rPr>
          <w:i/>
          <w:iCs/>
          <w:sz w:val="22"/>
          <w:szCs w:val="22"/>
          <w:lang w:val="es-ES"/>
        </w:rPr>
        <w:t xml:space="preserve"> Banco de Proyectos 4.0. Durante la sesión se revisaron los ajustes incorporados al documento, en atención a las observaciones y comentarios presentados por las dependencias participantes en el proceso de revisión, formalizando así su adopción como instrumento rector para la ejecución, supervisión, seguimiento y control de los proyectos financiados a través del patrimonio autónomo.</w:t>
      </w:r>
    </w:p>
    <w:p w14:paraId="45A7A878" w14:textId="77777777" w:rsidR="006A7765" w:rsidRDefault="006A7765">
      <w:pPr>
        <w:rPr>
          <w:lang w:val="es-ES"/>
        </w:rPr>
      </w:pPr>
    </w:p>
    <w:sectPr w:rsidR="006A7765">
      <w:headerReference w:type="default" r:id="rId7"/>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86660" w14:textId="77777777" w:rsidR="00DC473C" w:rsidRDefault="00DC473C">
      <w:r>
        <w:separator/>
      </w:r>
    </w:p>
  </w:endnote>
  <w:endnote w:type="continuationSeparator" w:id="0">
    <w:p w14:paraId="6695F37E" w14:textId="77777777" w:rsidR="00DC473C" w:rsidRDefault="00DC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1E57F" w14:textId="77777777" w:rsidR="00DC473C" w:rsidRDefault="00DC473C">
      <w:r>
        <w:separator/>
      </w:r>
    </w:p>
  </w:footnote>
  <w:footnote w:type="continuationSeparator" w:id="0">
    <w:p w14:paraId="191813BB" w14:textId="77777777" w:rsidR="00DC473C" w:rsidRDefault="00DC4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horzAnchor="page" w:tblpX="1147" w:tblpY="-2"/>
      <w:tblOverlap w:val="never"/>
      <w:tblW w:w="10050"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938"/>
      <w:gridCol w:w="8112"/>
    </w:tblGrid>
    <w:tr w:rsidR="006A7765" w14:paraId="1F93E235" w14:textId="77777777">
      <w:trPr>
        <w:trHeight w:val="690"/>
      </w:trPr>
      <w:tc>
        <w:tcPr>
          <w:tcW w:w="1938" w:type="dxa"/>
          <w:tcBorders>
            <w:top w:val="dotted" w:sz="12" w:space="0" w:color="auto"/>
            <w:left w:val="dotted" w:sz="12" w:space="0" w:color="auto"/>
            <w:bottom w:val="dotted" w:sz="12" w:space="0" w:color="auto"/>
            <w:right w:val="dotted" w:sz="12" w:space="0" w:color="auto"/>
          </w:tcBorders>
          <w:shd w:val="clear" w:color="auto" w:fill="FFFFFF"/>
          <w:vAlign w:val="center"/>
        </w:tcPr>
        <w:p w14:paraId="522E4599" w14:textId="77777777" w:rsidR="006A7765" w:rsidRDefault="00000000">
          <w:pPr>
            <w:jc w:val="center"/>
            <w:rPr>
              <w:b/>
              <w:color w:val="000000"/>
            </w:rPr>
          </w:pPr>
          <w:r>
            <w:rPr>
              <w:noProof/>
            </w:rPr>
            <w:drawing>
              <wp:anchor distT="0" distB="0" distL="114300" distR="114300" simplePos="0" relativeHeight="251659264" behindDoc="0" locked="0" layoutInCell="1" allowOverlap="1" wp14:anchorId="153309E0" wp14:editId="620E8E0C">
                <wp:simplePos x="0" y="0"/>
                <wp:positionH relativeFrom="column">
                  <wp:posOffset>104775</wp:posOffset>
                </wp:positionH>
                <wp:positionV relativeFrom="paragraph">
                  <wp:posOffset>-46355</wp:posOffset>
                </wp:positionV>
                <wp:extent cx="918845" cy="763270"/>
                <wp:effectExtent l="0" t="0" r="14605" b="17780"/>
                <wp:wrapNone/>
                <wp:docPr id="171203311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033116" name="drawing"/>
                        <pic:cNvPicPr>
                          <a:picLocks noChangeAspect="1"/>
                        </pic:cNvPicPr>
                      </pic:nvPicPr>
                      <pic:blipFill>
                        <a:blip r:embed="rId1"/>
                        <a:stretch>
                          <a:fillRect/>
                        </a:stretch>
                      </pic:blipFill>
                      <pic:spPr>
                        <a:xfrm>
                          <a:off x="0" y="0"/>
                          <a:ext cx="918845" cy="763270"/>
                        </a:xfrm>
                        <a:prstGeom prst="rect">
                          <a:avLst/>
                        </a:prstGeom>
                      </pic:spPr>
                    </pic:pic>
                  </a:graphicData>
                </a:graphic>
              </wp:anchor>
            </w:drawing>
          </w:r>
        </w:p>
        <w:p w14:paraId="5430F125" w14:textId="77777777" w:rsidR="006A7765" w:rsidRDefault="006A7765">
          <w:pPr>
            <w:jc w:val="center"/>
            <w:rPr>
              <w:rFonts w:ascii="Arial" w:eastAsia="Arial" w:hAnsi="Arial" w:cs="Arial"/>
              <w:b/>
              <w:color w:val="000000"/>
              <w:sz w:val="18"/>
              <w:szCs w:val="18"/>
            </w:rPr>
          </w:pPr>
        </w:p>
      </w:tc>
      <w:tc>
        <w:tcPr>
          <w:tcW w:w="8112" w:type="dxa"/>
          <w:tcBorders>
            <w:top w:val="dotted" w:sz="12" w:space="0" w:color="auto"/>
            <w:left w:val="dotted" w:sz="12" w:space="0" w:color="auto"/>
            <w:bottom w:val="dotted" w:sz="12" w:space="0" w:color="auto"/>
            <w:right w:val="dotted" w:sz="12" w:space="0" w:color="auto"/>
          </w:tcBorders>
          <w:shd w:val="clear" w:color="auto" w:fill="FFFFFF"/>
          <w:vAlign w:val="center"/>
        </w:tcPr>
        <w:p w14:paraId="74A00E3A" w14:textId="77777777" w:rsidR="006A7765" w:rsidRPr="005E6E99" w:rsidRDefault="00000000">
          <w:pPr>
            <w:jc w:val="center"/>
            <w:rPr>
              <w:rFonts w:ascii="Arial" w:eastAsia="Arial" w:hAnsi="Arial" w:cs="Arial"/>
              <w:b/>
              <w:color w:val="000000"/>
              <w:sz w:val="16"/>
              <w:szCs w:val="16"/>
              <w:lang w:val="es-CO"/>
            </w:rPr>
          </w:pPr>
          <w:bookmarkStart w:id="0" w:name="_heading=h.1x0gk37" w:colFirst="0" w:colLast="0"/>
          <w:bookmarkEnd w:id="0"/>
          <w:r>
            <w:rPr>
              <w:rFonts w:ascii="Arial" w:eastAsia="Arial" w:hAnsi="Arial" w:cs="Arial"/>
              <w:b/>
              <w:color w:val="000000"/>
              <w:sz w:val="16"/>
              <w:szCs w:val="16"/>
              <w:lang w:val="es-ES"/>
            </w:rPr>
            <w:t xml:space="preserve">RESUMEN </w:t>
          </w:r>
          <w:r w:rsidRPr="005E6E99">
            <w:rPr>
              <w:rFonts w:ascii="Arial" w:eastAsia="Arial" w:hAnsi="Arial" w:cs="Arial"/>
              <w:b/>
              <w:color w:val="000000"/>
              <w:sz w:val="16"/>
              <w:szCs w:val="16"/>
              <w:lang w:val="es-CO"/>
            </w:rPr>
            <w:t>COMITÉ FIDUCIARIO VIRTUAL No. 1</w:t>
          </w:r>
        </w:p>
        <w:p w14:paraId="3B4EB597" w14:textId="77777777" w:rsidR="006A7765" w:rsidRPr="005E6E99" w:rsidRDefault="00000000">
          <w:pPr>
            <w:jc w:val="center"/>
            <w:rPr>
              <w:rFonts w:ascii="Arial" w:eastAsia="Arial" w:hAnsi="Arial" w:cs="Arial"/>
              <w:b/>
              <w:color w:val="000000"/>
              <w:sz w:val="16"/>
              <w:szCs w:val="16"/>
              <w:lang w:val="es-CO"/>
            </w:rPr>
          </w:pPr>
          <w:r w:rsidRPr="005E6E99">
            <w:rPr>
              <w:rFonts w:ascii="Arial" w:eastAsia="Arial" w:hAnsi="Arial" w:cs="Arial"/>
              <w:b/>
              <w:color w:val="000000"/>
              <w:sz w:val="16"/>
              <w:szCs w:val="16"/>
              <w:lang w:val="es-CO"/>
            </w:rPr>
            <w:t>PATRIMONIO AUTÓNOMO FINDETER MININTERIOR BANCO DE PROYECTOS 4.0. CONTRATO DE FIDUCIA MERCANTIL - 3-1-127578 DE 2025</w:t>
          </w:r>
        </w:p>
        <w:p w14:paraId="559938B2" w14:textId="77777777" w:rsidR="006A7765" w:rsidRPr="005E6E99" w:rsidRDefault="00000000">
          <w:pPr>
            <w:jc w:val="center"/>
            <w:rPr>
              <w:rFonts w:ascii="Arial" w:eastAsia="Arial" w:hAnsi="Arial" w:cs="Arial"/>
              <w:b/>
              <w:color w:val="000000"/>
              <w:sz w:val="16"/>
              <w:szCs w:val="16"/>
              <w:lang w:val="es-CO"/>
            </w:rPr>
          </w:pPr>
          <w:r w:rsidRPr="005E6E99">
            <w:rPr>
              <w:rFonts w:ascii="Arial" w:eastAsia="Arial" w:hAnsi="Arial" w:cs="Arial"/>
              <w:b/>
              <w:color w:val="000000"/>
              <w:sz w:val="16"/>
              <w:szCs w:val="16"/>
              <w:lang w:val="es-CO"/>
            </w:rPr>
            <w:t xml:space="preserve">CONTRATO INTERADMINISTRATIVO NO. 1773 DE 2025  </w:t>
          </w:r>
        </w:p>
        <w:p w14:paraId="7220F282" w14:textId="77777777" w:rsidR="006A7765" w:rsidRPr="005E6E99" w:rsidRDefault="00000000">
          <w:pPr>
            <w:tabs>
              <w:tab w:val="center" w:pos="4252"/>
              <w:tab w:val="right" w:pos="8504"/>
            </w:tabs>
            <w:spacing w:line="360" w:lineRule="auto"/>
            <w:jc w:val="right"/>
            <w:rPr>
              <w:rFonts w:ascii="Arial" w:eastAsia="Arial" w:hAnsi="Arial" w:cs="Arial"/>
              <w:b/>
              <w:color w:val="000000"/>
              <w:sz w:val="14"/>
              <w:szCs w:val="14"/>
              <w:lang w:val="es-CO"/>
            </w:rPr>
          </w:pPr>
          <w:r w:rsidRPr="005E6E99">
            <w:rPr>
              <w:rFonts w:ascii="Arial" w:eastAsia="Arial" w:hAnsi="Arial" w:cs="Arial"/>
              <w:b/>
              <w:color w:val="000000"/>
              <w:sz w:val="14"/>
              <w:szCs w:val="14"/>
              <w:lang w:val="es-CO"/>
            </w:rPr>
            <w:t xml:space="preserve">FECHA: </w:t>
          </w:r>
          <w:r>
            <w:rPr>
              <w:rFonts w:ascii="Arial" w:eastAsia="Arial" w:hAnsi="Arial" w:cs="Arial"/>
              <w:b/>
              <w:color w:val="000000"/>
              <w:sz w:val="14"/>
              <w:szCs w:val="14"/>
              <w:lang w:val="es-ES"/>
            </w:rPr>
            <w:t xml:space="preserve">24 NOV </w:t>
          </w:r>
          <w:r w:rsidRPr="005E6E99">
            <w:rPr>
              <w:rFonts w:ascii="Arial" w:eastAsia="Arial" w:hAnsi="Arial" w:cs="Arial"/>
              <w:b/>
              <w:color w:val="000000"/>
              <w:sz w:val="14"/>
              <w:szCs w:val="14"/>
              <w:lang w:val="es-CO"/>
            </w:rPr>
            <w:t>2025</w:t>
          </w:r>
          <w:r>
            <w:rPr>
              <w:rFonts w:ascii="Arial" w:eastAsia="Arial" w:hAnsi="Arial" w:cs="Arial"/>
              <w:b/>
              <w:color w:val="000000"/>
              <w:sz w:val="14"/>
              <w:szCs w:val="14"/>
              <w:lang w:val="es-ES"/>
            </w:rPr>
            <w:t xml:space="preserve"> - 26 NOV 2025</w:t>
          </w:r>
          <w:r w:rsidRPr="005E6E99">
            <w:rPr>
              <w:rFonts w:ascii="Arial" w:eastAsia="Arial" w:hAnsi="Arial" w:cs="Arial"/>
              <w:b/>
              <w:color w:val="000000"/>
              <w:sz w:val="14"/>
              <w:szCs w:val="14"/>
              <w:lang w:val="es-CO"/>
            </w:rPr>
            <w:t xml:space="preserve">  </w:t>
          </w:r>
        </w:p>
        <w:p w14:paraId="75044A01" w14:textId="77777777" w:rsidR="006A7765" w:rsidRDefault="00000000">
          <w:pPr>
            <w:tabs>
              <w:tab w:val="center" w:pos="4252"/>
              <w:tab w:val="right" w:pos="8504"/>
            </w:tabs>
            <w:spacing w:line="360" w:lineRule="auto"/>
            <w:jc w:val="right"/>
            <w:rPr>
              <w:rFonts w:ascii="Arial" w:eastAsia="Arial" w:hAnsi="Arial" w:cs="Arial"/>
              <w:b/>
              <w:color w:val="000000"/>
              <w:sz w:val="14"/>
              <w:szCs w:val="14"/>
            </w:rPr>
          </w:pPr>
          <w:r>
            <w:rPr>
              <w:rFonts w:ascii="Arial" w:eastAsia="Arial" w:hAnsi="Arial" w:cs="Arial"/>
              <w:b/>
              <w:color w:val="000000"/>
              <w:sz w:val="14"/>
              <w:szCs w:val="14"/>
            </w:rPr>
            <w:t xml:space="preserve">VERSIÓN: 1 </w:t>
          </w:r>
        </w:p>
        <w:p w14:paraId="4097EE0B" w14:textId="77777777" w:rsidR="006A7765" w:rsidRDefault="00000000">
          <w:pPr>
            <w:tabs>
              <w:tab w:val="center" w:pos="4252"/>
              <w:tab w:val="right" w:pos="8504"/>
            </w:tabs>
            <w:spacing w:line="360" w:lineRule="auto"/>
            <w:jc w:val="right"/>
            <w:rPr>
              <w:rFonts w:ascii="Arial" w:eastAsia="Arial" w:hAnsi="Arial" w:cs="Arial"/>
              <w:color w:val="000000"/>
              <w:sz w:val="18"/>
              <w:szCs w:val="18"/>
            </w:rPr>
          </w:pPr>
          <w:r>
            <w:rPr>
              <w:rFonts w:ascii="Arial" w:eastAsia="Arial" w:hAnsi="Arial" w:cs="Arial"/>
              <w:b/>
              <w:color w:val="000000"/>
              <w:sz w:val="14"/>
              <w:szCs w:val="14"/>
            </w:rPr>
            <w:t xml:space="preserve">PÁGINA: </w:t>
          </w:r>
          <w:r>
            <w:rPr>
              <w:rFonts w:ascii="Arial" w:eastAsia="Arial" w:hAnsi="Arial" w:cs="Arial"/>
              <w:b/>
              <w:color w:val="000000"/>
              <w:sz w:val="14"/>
              <w:szCs w:val="14"/>
            </w:rPr>
            <w:fldChar w:fldCharType="begin"/>
          </w:r>
          <w:r>
            <w:rPr>
              <w:rFonts w:ascii="Arial" w:eastAsia="Arial" w:hAnsi="Arial" w:cs="Arial"/>
              <w:b/>
              <w:color w:val="000000"/>
              <w:sz w:val="14"/>
              <w:szCs w:val="14"/>
            </w:rPr>
            <w:instrText>PAGE</w:instrText>
          </w:r>
          <w:r>
            <w:rPr>
              <w:rFonts w:ascii="Arial" w:eastAsia="Arial" w:hAnsi="Arial" w:cs="Arial"/>
              <w:b/>
              <w:color w:val="000000"/>
              <w:sz w:val="14"/>
              <w:szCs w:val="14"/>
            </w:rPr>
            <w:fldChar w:fldCharType="separate"/>
          </w:r>
          <w:r>
            <w:rPr>
              <w:rFonts w:ascii="Arial" w:eastAsia="Arial" w:hAnsi="Arial" w:cs="Arial"/>
              <w:b/>
              <w:color w:val="000000"/>
              <w:sz w:val="14"/>
              <w:szCs w:val="14"/>
            </w:rPr>
            <w:t>8</w:t>
          </w:r>
          <w:r>
            <w:rPr>
              <w:rFonts w:ascii="Arial" w:eastAsia="Arial" w:hAnsi="Arial" w:cs="Arial"/>
              <w:b/>
              <w:color w:val="000000"/>
              <w:sz w:val="14"/>
              <w:szCs w:val="14"/>
            </w:rPr>
            <w:fldChar w:fldCharType="end"/>
          </w:r>
          <w:r>
            <w:rPr>
              <w:rFonts w:ascii="Arial" w:eastAsia="Arial" w:hAnsi="Arial" w:cs="Arial"/>
              <w:b/>
              <w:color w:val="000000"/>
              <w:sz w:val="14"/>
              <w:szCs w:val="14"/>
            </w:rPr>
            <w:t xml:space="preserve"> de </w:t>
          </w:r>
          <w:r>
            <w:rPr>
              <w:rFonts w:ascii="Arial" w:eastAsia="Arial" w:hAnsi="Arial" w:cs="Arial"/>
              <w:b/>
              <w:color w:val="000000"/>
              <w:sz w:val="14"/>
              <w:szCs w:val="14"/>
            </w:rPr>
            <w:fldChar w:fldCharType="begin"/>
          </w:r>
          <w:r>
            <w:rPr>
              <w:rFonts w:ascii="Arial" w:eastAsia="Arial" w:hAnsi="Arial" w:cs="Arial"/>
              <w:b/>
              <w:color w:val="000000"/>
              <w:sz w:val="14"/>
              <w:szCs w:val="14"/>
            </w:rPr>
            <w:instrText>NUMPAGES</w:instrText>
          </w:r>
          <w:r>
            <w:rPr>
              <w:rFonts w:ascii="Arial" w:eastAsia="Arial" w:hAnsi="Arial" w:cs="Arial"/>
              <w:b/>
              <w:color w:val="000000"/>
              <w:sz w:val="14"/>
              <w:szCs w:val="14"/>
            </w:rPr>
            <w:fldChar w:fldCharType="separate"/>
          </w:r>
          <w:r>
            <w:rPr>
              <w:rFonts w:ascii="Arial" w:eastAsia="Arial" w:hAnsi="Arial" w:cs="Arial"/>
              <w:b/>
              <w:color w:val="000000"/>
              <w:sz w:val="14"/>
              <w:szCs w:val="14"/>
            </w:rPr>
            <w:t>40</w:t>
          </w:r>
          <w:r>
            <w:rPr>
              <w:rFonts w:ascii="Arial" w:eastAsia="Arial" w:hAnsi="Arial" w:cs="Arial"/>
              <w:b/>
              <w:color w:val="000000"/>
              <w:sz w:val="14"/>
              <w:szCs w:val="14"/>
            </w:rPr>
            <w:fldChar w:fldCharType="end"/>
          </w:r>
        </w:p>
      </w:tc>
    </w:tr>
  </w:tbl>
  <w:p w14:paraId="0759C64D" w14:textId="77777777" w:rsidR="006A7765" w:rsidRDefault="006A7765">
    <w:pPr>
      <w:pStyle w:val="Encabezado"/>
    </w:pPr>
  </w:p>
  <w:p w14:paraId="1A19308C" w14:textId="77777777" w:rsidR="006A7765" w:rsidRDefault="006A7765">
    <w:pPr>
      <w:pStyle w:val="Encabezado"/>
    </w:pPr>
  </w:p>
  <w:p w14:paraId="536823A7" w14:textId="77777777" w:rsidR="006A7765" w:rsidRDefault="006A7765">
    <w:pPr>
      <w:pStyle w:val="Encabezado"/>
    </w:pPr>
  </w:p>
  <w:p w14:paraId="5D2CB1BB" w14:textId="77777777" w:rsidR="006A7765" w:rsidRDefault="006A7765">
    <w:pPr>
      <w:pStyle w:val="Encabezado"/>
    </w:pPr>
  </w:p>
  <w:p w14:paraId="16AB3AA3" w14:textId="77777777" w:rsidR="006A7765" w:rsidRDefault="006A7765">
    <w:pPr>
      <w:pStyle w:val="Encabezado"/>
    </w:pPr>
  </w:p>
  <w:p w14:paraId="41F541AD" w14:textId="77777777" w:rsidR="006A7765" w:rsidRDefault="006A7765">
    <w:pPr>
      <w:pStyle w:val="Encabezado"/>
    </w:pPr>
  </w:p>
  <w:p w14:paraId="78E5681B" w14:textId="77777777" w:rsidR="006A7765" w:rsidRDefault="006A776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36825"/>
    <w:multiLevelType w:val="multilevel"/>
    <w:tmpl w:val="1CA36825"/>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num w:numId="1" w16cid:durableId="824275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12B1515"/>
    <w:rsid w:val="005E6E99"/>
    <w:rsid w:val="006A7765"/>
    <w:rsid w:val="00DC473C"/>
    <w:rsid w:val="01064F05"/>
    <w:rsid w:val="26847937"/>
    <w:rsid w:val="2AAA3386"/>
    <w:rsid w:val="2F93020C"/>
    <w:rsid w:val="412B1515"/>
    <w:rsid w:val="5D58493A"/>
    <w:rsid w:val="62EA5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11E4EA"/>
  <w15:docId w15:val="{18908D5B-60B8-489D-8A59-F34E9453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153"/>
        <w:tab w:val="right" w:pos="8306"/>
      </w:tabs>
    </w:pPr>
  </w:style>
  <w:style w:type="paragraph" w:styleId="NormalWeb">
    <w:name w:val="Normal (Web)"/>
    <w:qFormat/>
    <w:pPr>
      <w:spacing w:beforeAutospacing="1" w:afterAutospacing="1"/>
    </w:pPr>
    <w:rPr>
      <w:sz w:val="24"/>
      <w:szCs w:val="24"/>
      <w:lang w:val="en-US" w:eastAsia="zh-CN"/>
    </w:rPr>
  </w:style>
  <w:style w:type="paragraph" w:styleId="Piedepgina">
    <w:name w:val="footer"/>
    <w:basedOn w:val="Normal"/>
    <w:qFormat/>
    <w:pPr>
      <w:tabs>
        <w:tab w:val="center" w:pos="4153"/>
        <w:tab w:val="right" w:pos="8306"/>
      </w:tabs>
    </w:pPr>
  </w:style>
  <w:style w:type="paragraph" w:customStyle="1" w:styleId="Style6">
    <w:name w:val="_Style 6"/>
    <w:basedOn w:val="Normal"/>
    <w:next w:val="Normal"/>
    <w:qFormat/>
    <w:pPr>
      <w:pBdr>
        <w:bottom w:val="single" w:sz="6" w:space="1" w:color="auto"/>
      </w:pBdr>
      <w:jc w:val="center"/>
    </w:pPr>
    <w:rPr>
      <w:rFonts w:ascii="Arial" w:eastAsia="SimSun"/>
      <w:vanish/>
      <w:sz w:val="16"/>
    </w:rPr>
  </w:style>
  <w:style w:type="paragraph" w:customStyle="1" w:styleId="Style7">
    <w:name w:val="_Style 7"/>
    <w:basedOn w:val="Normal"/>
    <w:next w:val="Normal"/>
    <w:pPr>
      <w:pBdr>
        <w:top w:val="single" w:sz="6" w:space="1" w:color="auto"/>
      </w:pBdr>
      <w:jc w:val="center"/>
    </w:pPr>
    <w:rPr>
      <w:rFonts w:ascii="Arial" w:eastAsia="SimSun"/>
      <w:vanish/>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2085</Words>
  <Characters>11473</Characters>
  <Application>Microsoft Office Word</Application>
  <DocSecurity>0</DocSecurity>
  <Lines>95</Lines>
  <Paragraphs>27</Paragraphs>
  <ScaleCrop>false</ScaleCrop>
  <Company/>
  <LinksUpToDate>false</LinksUpToDate>
  <CharactersWithSpaces>13531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carolina</dc:creator>
  <cp:lastModifiedBy>Fernando Diaz A</cp:lastModifiedBy>
  <cp:revision>3</cp:revision>
  <dcterms:created xsi:type="dcterms:W3CDTF">2026-05-07T23:59:00Z</dcterms:created>
  <dcterms:modified xsi:type="dcterms:W3CDTF">2026-06-22T18:54:00Z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3082-12.2.0.23202</vt:lpwstr>
  </property>
  <property fmtid="{D5CDD505-2E9C-101B-9397-08002B2CF9AE}" pid="3" name="ICV">
    <vt:lpwstr>288231D5FECD4459A298E16FAEF29AF2_11</vt:lpwstr>
  </property>
</Properties>
</file>